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F3" w:rsidRPr="004A3B78" w:rsidRDefault="00195BF3" w:rsidP="00195BF3">
      <w:pPr>
        <w:jc w:val="right"/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ZAŁACZNIK III.</w:t>
      </w:r>
      <w:r w:rsidR="000D2B63" w:rsidRPr="004A3B78">
        <w:rPr>
          <w:rFonts w:ascii="Times New Roman" w:hAnsi="Times New Roman" w:cs="Times New Roman"/>
          <w:sz w:val="24"/>
          <w:szCs w:val="24"/>
        </w:rPr>
        <w:t>7</w:t>
      </w:r>
    </w:p>
    <w:p w:rsidR="0095110B" w:rsidRPr="004A3B78" w:rsidRDefault="0095110B" w:rsidP="00195BF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110B" w:rsidRPr="004A3B78" w:rsidRDefault="001149FE" w:rsidP="0095110B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W11. Szkoła, organizując procesy edukacyjne, uwzględnia wnioski z analizy wyników sprawdzianu oraz innych badań zewnętrznych i wewnętrznych.</w:t>
      </w:r>
    </w:p>
    <w:p w:rsidR="001149FE" w:rsidRPr="004A3B78" w:rsidRDefault="001149FE" w:rsidP="0095110B">
      <w:pPr>
        <w:rPr>
          <w:rFonts w:ascii="Times New Roman" w:hAnsi="Times New Roman" w:cs="Times New Roman"/>
          <w:sz w:val="24"/>
          <w:szCs w:val="24"/>
        </w:rPr>
      </w:pPr>
    </w:p>
    <w:p w:rsidR="001149FE" w:rsidRPr="004A3B78" w:rsidRDefault="001149FE" w:rsidP="001149FE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Nauczyciele:</w:t>
      </w:r>
    </w:p>
    <w:p w:rsidR="001149FE" w:rsidRPr="004A3B78" w:rsidRDefault="001149FE" w:rsidP="001149FE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analizują wyniki egzaminu gimnazjalnego i przeprowadzają ewaluacje wewnętrzną</w:t>
      </w:r>
    </w:p>
    <w:p w:rsidR="001149FE" w:rsidRPr="004A3B78" w:rsidRDefault="001149FE" w:rsidP="001149FE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formułują wnioski z egzaminu i ewaluacji wdrażają działania w oparciu o wnioski</w:t>
      </w:r>
    </w:p>
    <w:p w:rsidR="001149FE" w:rsidRPr="004A3B78" w:rsidRDefault="001149FE" w:rsidP="001149FE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monitorują niektóre z nich  Większość podanych przez nauczycieli wyników monitorowania działań podejmowanych w oparciu o wnioski z analizy danych z egzaminu (np. wyższe wyniki na egzaminie, poznanie przez nauczycieli efektów swojej pracy, otrzymywanie przez uczniów i rodziców informacji o postępach w nauce, przydział dodatkowych godzin wpływa na efekty nauczania, zwiększenie zainteresowania dzieci spoza obwodu nauką w tej szkole) wskazuje, że sprawdzanie skuteczności tych przedsięwzięć nie jest powszechną praktyką w szkole wprowadzają zmiany w swojej pracy (patrz odpowiedzi n-cieli)</w:t>
      </w:r>
    </w:p>
    <w:tbl>
      <w:tblPr>
        <w:tblW w:w="892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23"/>
      </w:tblGrid>
      <w:tr w:rsidR="004A3B78" w:rsidRPr="004A3B78" w:rsidTr="004A3B78">
        <w:trPr>
          <w:trHeight w:val="348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częstsze stosowanie oceniania kształtującego</w:t>
            </w:r>
          </w:p>
        </w:tc>
      </w:tr>
      <w:tr w:rsidR="004A3B78" w:rsidRPr="004A3B78" w:rsidTr="004A3B78">
        <w:trPr>
          <w:trHeight w:val="1010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zwiększenie ilości ćwiczeń doskonalących umiejętności sprawiające trudność (np. logiczne myślenie, stosowania środków językowych)</w:t>
            </w:r>
          </w:p>
        </w:tc>
      </w:tr>
      <w:tr w:rsidR="004A3B78" w:rsidRPr="004A3B78" w:rsidTr="004A3B78">
        <w:trPr>
          <w:trHeight w:val="348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zwiększenie ilości prac pisemnych</w:t>
            </w:r>
          </w:p>
        </w:tc>
      </w:tr>
      <w:tr w:rsidR="004A3B78" w:rsidRPr="004A3B78" w:rsidTr="004A3B78">
        <w:trPr>
          <w:trHeight w:val="348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organizacja lekcji otwartych</w:t>
            </w:r>
          </w:p>
        </w:tc>
      </w:tr>
      <w:tr w:rsidR="004A3B78" w:rsidRPr="004A3B78" w:rsidTr="004A3B78">
        <w:trPr>
          <w:trHeight w:val="1010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zwiększenie liczby lekcji powtórzeniowych przeznaczonych na rozwiązywanie zadań egzaminacyjnych</w:t>
            </w:r>
          </w:p>
        </w:tc>
      </w:tr>
      <w:tr w:rsidR="004A3B78" w:rsidRPr="004A3B78" w:rsidTr="004A3B78">
        <w:trPr>
          <w:trHeight w:val="679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ukończenie szkolenia w zakresie oceniania zadań otwartych</w:t>
            </w:r>
          </w:p>
        </w:tc>
      </w:tr>
      <w:tr w:rsidR="004A3B78" w:rsidRPr="004A3B78" w:rsidTr="004A3B78">
        <w:trPr>
          <w:trHeight w:val="348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wprowadzenie zeszytów ćwiczeń</w:t>
            </w:r>
          </w:p>
        </w:tc>
      </w:tr>
      <w:tr w:rsidR="004A3B78" w:rsidRPr="004A3B78" w:rsidTr="004A3B78">
        <w:trPr>
          <w:trHeight w:val="679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aktywizacja zespołu przedmiotowego (częstsze spotkania, większe zaangażowanie nauczycieli)</w:t>
            </w:r>
          </w:p>
        </w:tc>
      </w:tr>
      <w:tr w:rsidR="004A3B78" w:rsidRPr="004A3B78" w:rsidTr="004A3B78">
        <w:trPr>
          <w:trHeight w:val="679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pogł</w:t>
            </w:r>
            <w:bookmarkStart w:id="0" w:name="_GoBack"/>
            <w:bookmarkEnd w:id="0"/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t>ębianie umiejętności uczniów zamiast poszerzania treści</w:t>
            </w:r>
          </w:p>
        </w:tc>
      </w:tr>
      <w:tr w:rsidR="004A3B78" w:rsidRPr="004A3B78" w:rsidTr="004A3B78">
        <w:trPr>
          <w:trHeight w:val="3327"/>
        </w:trPr>
        <w:tc>
          <w:tcPr>
            <w:tcW w:w="8923" w:type="dxa"/>
            <w:tcBorders>
              <w:top w:val="single" w:sz="6" w:space="0" w:color="564B59"/>
              <w:left w:val="single" w:sz="6" w:space="0" w:color="564B59"/>
              <w:bottom w:val="single" w:sz="6" w:space="0" w:color="564B59"/>
              <w:right w:val="single" w:sz="6" w:space="0" w:color="564B59"/>
            </w:tcBorders>
            <w:shd w:val="clear" w:color="auto" w:fill="auto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:rsidR="004A3B78" w:rsidRPr="004A3B78" w:rsidRDefault="004A3B78" w:rsidP="004A3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3B7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pl-PL"/>
              </w:rPr>
              <w:lastRenderedPageBreak/>
              <w:t>Odpowiedzi nieadekwatne: konsekwentnie dbam o bezpieczeństwo i kulturę zachowania uczniów, w większym stopniu uwzględniam opinie z poradni i stosuje się do zaleceń, zwiększam uwagę pod kątem indywidualizacji, lepsze planowanie procesu edukacyjnego, wspieram uczniów w procesie uczenia się, reaguję na każde nieodpowiednie zachowanie uczniów, nadal współpracować i wymieniać informacje z wychowawcami na temat sytuacji uczniów.</w:t>
            </w:r>
          </w:p>
        </w:tc>
      </w:tr>
    </w:tbl>
    <w:p w:rsidR="001149FE" w:rsidRPr="004A3B78" w:rsidRDefault="001149FE" w:rsidP="001149FE">
      <w:pPr>
        <w:rPr>
          <w:rFonts w:ascii="Times New Roman" w:hAnsi="Times New Roman" w:cs="Times New Roman"/>
          <w:sz w:val="24"/>
          <w:szCs w:val="24"/>
        </w:rPr>
      </w:pP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 xml:space="preserve">Zdecydowana większość nauczycieli deklaruje prowadzenie badań wewnętrznych. 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 xml:space="preserve">-  ankietowanie uczniów w zakresie sytuacji </w:t>
      </w:r>
      <w:proofErr w:type="spellStart"/>
      <w:r w:rsidRPr="004A3B78">
        <w:rPr>
          <w:rFonts w:ascii="Times New Roman" w:hAnsi="Times New Roman" w:cs="Times New Roman"/>
          <w:sz w:val="24"/>
          <w:szCs w:val="24"/>
        </w:rPr>
        <w:t>socjalno</w:t>
      </w:r>
      <w:proofErr w:type="spellEnd"/>
      <w:r w:rsidRPr="004A3B78">
        <w:rPr>
          <w:rFonts w:ascii="Times New Roman" w:hAnsi="Times New Roman" w:cs="Times New Roman"/>
          <w:sz w:val="24"/>
          <w:szCs w:val="24"/>
        </w:rPr>
        <w:t xml:space="preserve"> - bytowej w celu poznania warunków ich życia  i zorganizowania stosownej pomocy, planowania działań wychowawczych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- przeprowadzanie testów sprawności fizycznej i umiejętności z zakresu różnych dyscyplin sportowych w celu poznania możliwości uczniów i dostosowania metod i form pracy,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- przeprowadzanie bieżących sprawdzianów, kartkówek w celu oceny postępów uczniów,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- ewaluację pracy własnej nauczycieli w celu dostosowania metod i form pracy do oczekiwań uczniów,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- egzaminy próbne (np. z Operonem) w celu ustalenia stopnia opanowania podstawy programowej, zakresu wymaganego wsparcia, do późniejszego porównania jego wyników z egzaminem gimnazjalnym,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diagnozę wstępną oraz analizę wyników ze szkoły podstawowej (świadectwo i sprawdzian po klasie VI) oraz opinii z poradni w celu dostosowania metod pracy, ustalenia zakresu wymagań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analizy frekwencji uczniów – po co ?</w:t>
      </w:r>
    </w:p>
    <w:p w:rsidR="001149FE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- badanie losów absolwentów do motywowania uczniów do nauki ( "promocja dobrych wzorców do naśladowania'), wspierania w planowaniu dalszej ścieżki edukacyjnej i wyborze odpowiedniej szkoły oraz promocji placówki w środowisku lokalnym. Pojedynczy nauczyciele wskazali, że badanie to służy ocenie i weryfikacji ich pracy.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W większości odpowiedzi przywołane są :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 xml:space="preserve">- badania, które nie są badaniami zewnętrznymi (np. egzaminy próbne przygotowane przez wydawnictwa, „Informacja dla dyrektorów szkół i nauczycieli dotycząca roli aktywnego udziału uczniów w zajęciach wychowania fizycznego” - ORE, „Stop zwolnieniom z </w:t>
      </w:r>
      <w:proofErr w:type="spellStart"/>
      <w:r w:rsidRPr="004A3B78">
        <w:rPr>
          <w:rFonts w:ascii="Times New Roman" w:hAnsi="Times New Roman" w:cs="Times New Roman"/>
          <w:sz w:val="24"/>
          <w:szCs w:val="24"/>
        </w:rPr>
        <w:t>wf-u</w:t>
      </w:r>
      <w:proofErr w:type="spellEnd"/>
      <w:r w:rsidRPr="004A3B78">
        <w:rPr>
          <w:rFonts w:ascii="Times New Roman" w:hAnsi="Times New Roman" w:cs="Times New Roman"/>
          <w:sz w:val="24"/>
          <w:szCs w:val="24"/>
        </w:rPr>
        <w:t xml:space="preserve"> – Orlik 2012”, „ Dziecko ze specjalnymi potrzebami edukacyjnymi” - ORE), 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t>nie zostały w jakikolwiek sposób nazwane (np. "raporty z badań edukacyjnych prowadzonych przez MEN" , "raporty z portalu ORE, inne ogólnopolskie badania ankietowe realizowane przez instytucje badające opinie społeczne ) l</w:t>
      </w:r>
    </w:p>
    <w:p w:rsidR="004A3B78" w:rsidRPr="004A3B78" w:rsidRDefault="004A3B78" w:rsidP="004A3B78">
      <w:pPr>
        <w:rPr>
          <w:rFonts w:ascii="Times New Roman" w:hAnsi="Times New Roman" w:cs="Times New Roman"/>
          <w:sz w:val="24"/>
          <w:szCs w:val="24"/>
        </w:rPr>
      </w:pPr>
      <w:r w:rsidRPr="004A3B78">
        <w:rPr>
          <w:rFonts w:ascii="Times New Roman" w:hAnsi="Times New Roman" w:cs="Times New Roman"/>
          <w:sz w:val="24"/>
          <w:szCs w:val="24"/>
        </w:rPr>
        <w:lastRenderedPageBreak/>
        <w:t xml:space="preserve"> W wielu przypadkach brakuje logicznego przykładu wykorzystania wskazanego badania (np. "Europejski Program Badań Ankietowych w szkołach na temat używania alkoholu i innych sytuacji psychoaktywnych  - zapoznanie z rozpowszechnianiem używania substancji psychoaktywnych przez młodzież oraz badanie postaw młodych ludzi wobec substancji legalnych jak i nielegalnych", "raport z egzaminu zewnętrznego OKE w Łodzi - opracowuję wnioski i wdrażam rekomendacje do pracy z uczniami w kolejnym roku szkolnym, do analizowania poziomu osiągnięć uczniów w odniesieniu do osiągnięć uczniów z innych szkół na terenie województwa, kraju, uczenia się jak prowadzić analizy i interpretację wyników") lub nie pojawia się żaden sposób wykorzystania (np. w odniesieniu do badania ORE – „ Problemy młodzieży a pozytywny potencjał społeczności lokalnej”)</w:t>
      </w:r>
    </w:p>
    <w:p w:rsidR="004A3B78" w:rsidRDefault="004A3B78" w:rsidP="004A3B78">
      <w:pPr>
        <w:rPr>
          <w:rFonts w:ascii="Times New Roman" w:hAnsi="Times New Roman" w:cs="Times New Roman"/>
          <w:sz w:val="24"/>
        </w:rPr>
      </w:pPr>
    </w:p>
    <w:p w:rsidR="001149FE" w:rsidRDefault="001149FE" w:rsidP="001149FE">
      <w:pPr>
        <w:rPr>
          <w:rFonts w:ascii="Times New Roman" w:hAnsi="Times New Roman" w:cs="Times New Roman"/>
          <w:sz w:val="24"/>
        </w:rPr>
      </w:pPr>
    </w:p>
    <w:p w:rsidR="001149FE" w:rsidRPr="00195BF3" w:rsidRDefault="001149FE" w:rsidP="001149FE">
      <w:pPr>
        <w:rPr>
          <w:rFonts w:ascii="Times New Roman" w:hAnsi="Times New Roman" w:cs="Times New Roman"/>
          <w:sz w:val="24"/>
        </w:rPr>
      </w:pPr>
    </w:p>
    <w:sectPr w:rsidR="001149FE" w:rsidRPr="00195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61933"/>
    <w:multiLevelType w:val="hybridMultilevel"/>
    <w:tmpl w:val="D186817E"/>
    <w:lvl w:ilvl="0" w:tplc="4094F20A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5AB9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FB82E1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EF8996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41876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B14EE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D944F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54A8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5569D0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F87605"/>
    <w:multiLevelType w:val="hybridMultilevel"/>
    <w:tmpl w:val="FDAC65B4"/>
    <w:lvl w:ilvl="0" w:tplc="166C7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632685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76ADE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4AC8B0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B363CF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2DE17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502A0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1920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7C75C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273C83"/>
    <w:multiLevelType w:val="hybridMultilevel"/>
    <w:tmpl w:val="7F66DF4A"/>
    <w:lvl w:ilvl="0" w:tplc="C97877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B2D2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D42B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5A8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36E6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AEE4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6441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5A60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ED9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F3"/>
    <w:rsid w:val="000D2B63"/>
    <w:rsid w:val="001149FE"/>
    <w:rsid w:val="00195BF3"/>
    <w:rsid w:val="00413447"/>
    <w:rsid w:val="004A3B78"/>
    <w:rsid w:val="0095110B"/>
    <w:rsid w:val="00A5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D4D8A5-B7C3-4D19-A1D0-E9300DD4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9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5B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29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5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77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2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3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0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G</dc:creator>
  <cp:keywords/>
  <dc:description/>
  <cp:lastModifiedBy>A G</cp:lastModifiedBy>
  <cp:revision>4</cp:revision>
  <dcterms:created xsi:type="dcterms:W3CDTF">2016-12-31T11:04:00Z</dcterms:created>
  <dcterms:modified xsi:type="dcterms:W3CDTF">2016-12-31T11:11:00Z</dcterms:modified>
</cp:coreProperties>
</file>